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F2" w:rsidRDefault="008F5BF2" w:rsidP="003D2B43">
      <w:pPr>
        <w:overflowPunct w:val="0"/>
        <w:jc w:val="center"/>
        <w:rPr>
          <w:rFonts w:ascii="標楷體" w:eastAsia="標楷體" w:hAnsi="標楷體"/>
          <w:sz w:val="36"/>
          <w:szCs w:val="36"/>
        </w:rPr>
      </w:pPr>
      <w:bookmarkStart w:id="0" w:name="_GoBack"/>
      <w:bookmarkEnd w:id="0"/>
      <w:r w:rsidRPr="008F5BF2">
        <w:rPr>
          <w:rFonts w:ascii="標楷體" w:eastAsia="標楷體" w:hAnsi="標楷體" w:hint="eastAsia"/>
          <w:sz w:val="36"/>
          <w:szCs w:val="36"/>
        </w:rPr>
        <w:t>退休教職員</w:t>
      </w:r>
      <w:r>
        <w:rPr>
          <w:rFonts w:ascii="標楷體" w:eastAsia="標楷體" w:hAnsi="標楷體" w:hint="eastAsia"/>
          <w:sz w:val="36"/>
          <w:szCs w:val="36"/>
        </w:rPr>
        <w:t>同仁</w:t>
      </w:r>
      <w:r w:rsidRPr="008F5BF2">
        <w:rPr>
          <w:rFonts w:ascii="標楷體" w:eastAsia="標楷體" w:hAnsi="標楷體" w:hint="eastAsia"/>
          <w:sz w:val="36"/>
          <w:szCs w:val="36"/>
        </w:rPr>
        <w:t>因應年金改革修法後</w:t>
      </w:r>
    </w:p>
    <w:p w:rsidR="000049D1" w:rsidRPr="008F5BF2" w:rsidRDefault="008F5BF2" w:rsidP="003D2B43">
      <w:pPr>
        <w:overflowPunct w:val="0"/>
        <w:jc w:val="center"/>
        <w:rPr>
          <w:rFonts w:ascii="標楷體" w:eastAsia="標楷體" w:hAnsi="標楷體"/>
          <w:sz w:val="36"/>
          <w:szCs w:val="36"/>
        </w:rPr>
      </w:pPr>
      <w:r w:rsidRPr="008F5BF2">
        <w:rPr>
          <w:rFonts w:ascii="標楷體" w:eastAsia="標楷體" w:hAnsi="標楷體" w:hint="eastAsia"/>
          <w:sz w:val="36"/>
          <w:szCs w:val="36"/>
        </w:rPr>
        <w:t>權利救濟</w:t>
      </w:r>
      <w:r>
        <w:rPr>
          <w:rFonts w:ascii="標楷體" w:eastAsia="標楷體" w:hAnsi="標楷體" w:hint="eastAsia"/>
          <w:sz w:val="36"/>
          <w:szCs w:val="36"/>
        </w:rPr>
        <w:t>程序之簡要說明</w:t>
      </w:r>
    </w:p>
    <w:p w:rsidR="00A47F20" w:rsidRDefault="00A47F20" w:rsidP="003D2B43">
      <w:pPr>
        <w:overflowPunct w:val="0"/>
        <w:jc w:val="right"/>
        <w:rPr>
          <w:rFonts w:ascii="標楷體" w:eastAsia="標楷體" w:hAnsi="標楷體"/>
        </w:rPr>
      </w:pPr>
      <w:r w:rsidRPr="00A47F20">
        <w:rPr>
          <w:rFonts w:ascii="標楷體" w:eastAsia="標楷體" w:hAnsi="標楷體" w:hint="eastAsia"/>
          <w:u w:val="single"/>
        </w:rPr>
        <w:t>法律顧問  恆英法律事務所所長朱敏賢律</w:t>
      </w:r>
      <w:r>
        <w:rPr>
          <w:rFonts w:ascii="標楷體" w:eastAsia="標楷體" w:hAnsi="標楷體" w:hint="eastAsia"/>
        </w:rPr>
        <w:t>師</w:t>
      </w:r>
    </w:p>
    <w:p w:rsidR="00A47F20" w:rsidRPr="00A47F20" w:rsidRDefault="00A47F20" w:rsidP="00E24221">
      <w:pPr>
        <w:overflowPunct w:val="0"/>
        <w:jc w:val="both"/>
        <w:rPr>
          <w:rFonts w:ascii="標楷體" w:eastAsia="標楷體" w:hAnsi="標楷體"/>
        </w:rPr>
      </w:pPr>
    </w:p>
    <w:p w:rsidR="008F5BF2" w:rsidRPr="005D2711" w:rsidRDefault="00F0792D" w:rsidP="00E24221">
      <w:pPr>
        <w:pStyle w:val="a3"/>
        <w:numPr>
          <w:ilvl w:val="0"/>
          <w:numId w:val="1"/>
        </w:numPr>
        <w:overflowPunct w:val="0"/>
        <w:ind w:leftChars="0"/>
        <w:jc w:val="both"/>
        <w:rPr>
          <w:rFonts w:ascii="標楷體" w:eastAsia="標楷體" w:hAnsi="標楷體"/>
          <w:b/>
        </w:rPr>
      </w:pPr>
      <w:r w:rsidRPr="005D2711">
        <w:rPr>
          <w:rFonts w:ascii="標楷體" w:eastAsia="標楷體" w:hAnsi="標楷體" w:hint="eastAsia"/>
          <w:b/>
        </w:rPr>
        <w:t>學校</w:t>
      </w:r>
      <w:r w:rsidR="008F5BF2" w:rsidRPr="005D2711">
        <w:rPr>
          <w:rFonts w:ascii="標楷體" w:eastAsia="標楷體" w:hAnsi="標楷體" w:hint="eastAsia"/>
          <w:b/>
        </w:rPr>
        <w:t>教職員</w:t>
      </w:r>
      <w:r w:rsidRPr="005D2711">
        <w:rPr>
          <w:rFonts w:ascii="標楷體" w:eastAsia="標楷體" w:hAnsi="標楷體" w:hint="eastAsia"/>
          <w:b/>
        </w:rPr>
        <w:t>退休條例已通過修法</w:t>
      </w:r>
    </w:p>
    <w:p w:rsidR="00F0792D" w:rsidRPr="008C6E31" w:rsidRDefault="007A4456" w:rsidP="00E24221">
      <w:pPr>
        <w:pStyle w:val="a3"/>
        <w:overflowPunct w:val="0"/>
        <w:ind w:leftChars="0"/>
        <w:jc w:val="both"/>
        <w:rPr>
          <w:rFonts w:ascii="標楷體" w:eastAsia="標楷體" w:hAnsi="標楷體"/>
        </w:rPr>
      </w:pPr>
      <w:r>
        <w:rPr>
          <w:rFonts w:ascii="標楷體" w:eastAsia="標楷體" w:hAnsi="標楷體" w:hint="eastAsia"/>
        </w:rPr>
        <w:t xml:space="preserve">    </w:t>
      </w:r>
      <w:r w:rsidR="001559BE" w:rsidRPr="008C6E31">
        <w:rPr>
          <w:rFonts w:ascii="標楷體" w:eastAsia="標楷體" w:hAnsi="標楷體" w:hint="eastAsia"/>
        </w:rPr>
        <w:t>《公立學校教職員退休資遣撫卹條例》</w:t>
      </w:r>
      <w:r w:rsidR="0060234F" w:rsidRPr="008C6E31">
        <w:rPr>
          <w:rFonts w:ascii="標楷體" w:eastAsia="標楷體" w:hAnsi="標楷體" w:hint="eastAsia"/>
        </w:rPr>
        <w:t>於民國106年6月</w:t>
      </w:r>
      <w:r w:rsidR="009F4F5A" w:rsidRPr="008C6E31">
        <w:rPr>
          <w:rFonts w:ascii="標楷體" w:eastAsia="標楷體" w:hAnsi="標楷體" w:hint="eastAsia"/>
        </w:rPr>
        <w:t>29日通過修法，並訂於107年7月1</w:t>
      </w:r>
      <w:r w:rsidR="001559BE" w:rsidRPr="008C6E31">
        <w:rPr>
          <w:rFonts w:ascii="標楷體" w:eastAsia="標楷體" w:hAnsi="標楷體" w:hint="eastAsia"/>
        </w:rPr>
        <w:t>日施行，此次修法對已退休甚或未退休教職員之權益均影響極大至深，各界討論紛紛，除立法政策可繼續辨正外，已退休之教職員權益於日後收受各退休撫卹主管機關處分書後，如未依照法律之規定，權益即無法獲得應有的保障。</w:t>
      </w:r>
    </w:p>
    <w:p w:rsidR="006D4EFE" w:rsidRPr="008C6E31" w:rsidRDefault="006D4EFE" w:rsidP="00E24221">
      <w:pPr>
        <w:pStyle w:val="a3"/>
        <w:overflowPunct w:val="0"/>
        <w:ind w:leftChars="0"/>
        <w:jc w:val="both"/>
        <w:rPr>
          <w:rFonts w:ascii="標楷體" w:eastAsia="標楷體" w:hAnsi="標楷體"/>
          <w:b/>
        </w:rPr>
      </w:pPr>
    </w:p>
    <w:p w:rsidR="00F0792D" w:rsidRPr="008C6E31" w:rsidRDefault="006D4EFE" w:rsidP="00E24221">
      <w:pPr>
        <w:pStyle w:val="a3"/>
        <w:numPr>
          <w:ilvl w:val="0"/>
          <w:numId w:val="1"/>
        </w:numPr>
        <w:overflowPunct w:val="0"/>
        <w:ind w:leftChars="0"/>
        <w:jc w:val="both"/>
        <w:rPr>
          <w:rFonts w:ascii="標楷體" w:eastAsia="標楷體" w:hAnsi="標楷體"/>
          <w:b/>
        </w:rPr>
      </w:pPr>
      <w:r w:rsidRPr="008C6E31">
        <w:rPr>
          <w:rFonts w:ascii="標楷體" w:eastAsia="標楷體" w:hAnsi="標楷體" w:hint="eastAsia"/>
          <w:b/>
        </w:rPr>
        <w:t>退休同仁可能收到的行政處分</w:t>
      </w:r>
    </w:p>
    <w:p w:rsidR="006D4EFE" w:rsidRPr="008C6E31" w:rsidRDefault="007A4456" w:rsidP="00E24221">
      <w:pPr>
        <w:pStyle w:val="a3"/>
        <w:overflowPunct w:val="0"/>
        <w:jc w:val="both"/>
        <w:rPr>
          <w:rFonts w:ascii="標楷體" w:eastAsia="標楷體" w:hAnsi="標楷體"/>
        </w:rPr>
      </w:pPr>
      <w:r w:rsidRPr="008C6E31">
        <w:rPr>
          <w:rFonts w:ascii="標楷體" w:eastAsia="標楷體" w:hAnsi="標楷體" w:hint="eastAsia"/>
        </w:rPr>
        <w:t xml:space="preserve">    「行政處分」在法律上的定義是「行政機關就公法上具體事件所為之決定或其他公權力措施而對外直接發生法律效果之單方行政行為</w:t>
      </w:r>
      <w:r w:rsidR="009B7E84" w:rsidRPr="008C6E31">
        <w:rPr>
          <w:rFonts w:ascii="標楷體" w:eastAsia="標楷體" w:hAnsi="標楷體" w:hint="eastAsia"/>
        </w:rPr>
        <w:t>」（行政程序法第92條第1項、訴願法第3條第1</w:t>
      </w:r>
      <w:r w:rsidRPr="008C6E31">
        <w:rPr>
          <w:rFonts w:ascii="標楷體" w:eastAsia="標楷體" w:hAnsi="標楷體" w:hint="eastAsia"/>
        </w:rPr>
        <w:t>項參見）。行政機關發的公文有些是會發生法律效果的「行政處分」，有些是不發生法律效果的「觀念通知」。如果對「行政處分」不服，要在各種法律所訂的法定期間內</w:t>
      </w:r>
      <w:r w:rsidR="002F0235" w:rsidRPr="008C6E31">
        <w:rPr>
          <w:rFonts w:ascii="標楷體" w:eastAsia="標楷體" w:hAnsi="標楷體" w:hint="eastAsia"/>
        </w:rPr>
        <w:t>，向各種法律所訂的機關</w:t>
      </w:r>
      <w:r w:rsidRPr="008C6E31">
        <w:rPr>
          <w:rFonts w:ascii="標楷體" w:eastAsia="標楷體" w:hAnsi="標楷體" w:hint="eastAsia"/>
        </w:rPr>
        <w:t>表示不服，提起救濟，</w:t>
      </w:r>
      <w:r w:rsidR="00FD28D2" w:rsidRPr="008C6E31">
        <w:rPr>
          <w:rFonts w:ascii="標楷體" w:eastAsia="標楷體" w:hAnsi="標楷體" w:hint="eastAsia"/>
        </w:rPr>
        <w:t>而</w:t>
      </w:r>
      <w:r w:rsidRPr="008C6E31">
        <w:rPr>
          <w:rFonts w:ascii="標楷體" w:eastAsia="標楷體" w:hAnsi="標楷體" w:hint="eastAsia"/>
        </w:rPr>
        <w:t>各種法律規定的救濟程序</w:t>
      </w:r>
      <w:r w:rsidR="006267BE" w:rsidRPr="008C6E31">
        <w:rPr>
          <w:rFonts w:ascii="標楷體" w:eastAsia="標楷體" w:hAnsi="標楷體" w:hint="eastAsia"/>
        </w:rPr>
        <w:t>並非全部相同</w:t>
      </w:r>
      <w:r w:rsidR="008C602C" w:rsidRPr="008C6E31">
        <w:rPr>
          <w:rFonts w:ascii="標楷體" w:eastAsia="標楷體" w:hAnsi="標楷體" w:hint="eastAsia"/>
        </w:rPr>
        <w:t>，</w:t>
      </w:r>
      <w:r w:rsidR="00FD28D2" w:rsidRPr="008C6E31">
        <w:rPr>
          <w:rFonts w:ascii="標楷體" w:eastAsia="標楷體" w:hAnsi="標楷體" w:hint="eastAsia"/>
        </w:rPr>
        <w:t>請參考以下說明。</w:t>
      </w:r>
    </w:p>
    <w:p w:rsidR="007A4456" w:rsidRPr="008C6E31" w:rsidRDefault="00FC72D3" w:rsidP="00E24221">
      <w:pPr>
        <w:pStyle w:val="a3"/>
        <w:overflowPunct w:val="0"/>
        <w:jc w:val="both"/>
        <w:rPr>
          <w:rFonts w:ascii="標楷體" w:eastAsia="標楷體" w:hAnsi="標楷體"/>
        </w:rPr>
      </w:pPr>
      <w:r w:rsidRPr="008C6E31">
        <w:rPr>
          <w:rFonts w:ascii="標楷體" w:eastAsia="標楷體" w:hAnsi="標楷體" w:hint="eastAsia"/>
        </w:rPr>
        <w:t xml:space="preserve">    退休</w:t>
      </w:r>
      <w:r w:rsidR="002F0235" w:rsidRPr="008C6E31">
        <w:rPr>
          <w:rFonts w:ascii="標楷體" w:eastAsia="標楷體" w:hAnsi="標楷體" w:hint="eastAsia"/>
        </w:rPr>
        <w:t>同仁</w:t>
      </w:r>
      <w:r w:rsidR="00CF71C6" w:rsidRPr="008C6E31">
        <w:rPr>
          <w:rFonts w:ascii="標楷體" w:eastAsia="標楷體" w:hAnsi="標楷體" w:hint="eastAsia"/>
        </w:rPr>
        <w:t>之退休核定，</w:t>
      </w:r>
      <w:r w:rsidR="002F0235" w:rsidRPr="008C6E31">
        <w:rPr>
          <w:rFonts w:ascii="標楷體" w:eastAsia="標楷體" w:hAnsi="標楷體" w:hint="eastAsia"/>
        </w:rPr>
        <w:t>按照</w:t>
      </w:r>
      <w:r w:rsidR="00CF71C6" w:rsidRPr="008C6E31">
        <w:rPr>
          <w:rFonts w:ascii="標楷體" w:eastAsia="標楷體" w:hAnsi="標楷體" w:hint="eastAsia"/>
        </w:rPr>
        <w:t>新法施行前主管機關的作法，是由各直轄縣市政府教育局寄發退休審定函處分，內容記載退休金給與、</w:t>
      </w:r>
      <w:r w:rsidR="00EA0254" w:rsidRPr="008C6E31">
        <w:rPr>
          <w:rFonts w:ascii="標楷體" w:eastAsia="標楷體" w:hAnsi="標楷體" w:hint="eastAsia"/>
        </w:rPr>
        <w:t>補償金、優惠存款等計算及金額，但補償金由支給機關計算支給，退休新制實施後年資應發給之退休金，由公務人員退休金撫卹基金管理委員會計算並支給。</w:t>
      </w:r>
    </w:p>
    <w:p w:rsidR="00EA0254" w:rsidRPr="008C6E31" w:rsidRDefault="00EA0254" w:rsidP="00E24221">
      <w:pPr>
        <w:pStyle w:val="a3"/>
        <w:overflowPunct w:val="0"/>
        <w:jc w:val="both"/>
        <w:rPr>
          <w:rFonts w:ascii="標楷體" w:eastAsia="標楷體" w:hAnsi="標楷體"/>
        </w:rPr>
      </w:pPr>
      <w:r w:rsidRPr="008C6E31">
        <w:rPr>
          <w:rFonts w:ascii="標楷體" w:eastAsia="標楷體" w:hAnsi="標楷體" w:hint="eastAsia"/>
        </w:rPr>
        <w:t xml:space="preserve">    </w:t>
      </w:r>
      <w:r w:rsidR="000349FF" w:rsidRPr="008C6E31">
        <w:rPr>
          <w:rFonts w:ascii="標楷體" w:eastAsia="標楷體" w:hAnsi="標楷體" w:hint="eastAsia"/>
        </w:rPr>
        <w:t>修法前，教育局之審定退休公文處分函通常會表明教育局為原處分機關。</w:t>
      </w:r>
      <w:r w:rsidR="004A4EAE" w:rsidRPr="008C6E31">
        <w:rPr>
          <w:rFonts w:ascii="標楷體" w:eastAsia="標楷體" w:hAnsi="標楷體" w:hint="eastAsia"/>
        </w:rPr>
        <w:t>新法施行後，</w:t>
      </w:r>
      <w:r w:rsidR="000349FF" w:rsidRPr="008C6E31">
        <w:rPr>
          <w:rFonts w:ascii="標楷體" w:eastAsia="標楷體" w:hAnsi="標楷體" w:hint="eastAsia"/>
        </w:rPr>
        <w:t>至目前為止新法之施行細則尚未公布，因此，</w:t>
      </w:r>
      <w:r w:rsidR="004A4EAE" w:rsidRPr="008C6E31">
        <w:rPr>
          <w:rFonts w:ascii="標楷體" w:eastAsia="標楷體" w:hAnsi="標楷體" w:hint="eastAsia"/>
        </w:rPr>
        <w:t>各主管機關如</w:t>
      </w:r>
      <w:r w:rsidR="006267BE" w:rsidRPr="008C6E31">
        <w:rPr>
          <w:rFonts w:ascii="標楷體" w:eastAsia="標楷體" w:hAnsi="標楷體" w:hint="eastAsia"/>
        </w:rPr>
        <w:t>何發函作</w:t>
      </w:r>
      <w:r w:rsidR="00DF6F25" w:rsidRPr="008C6E31">
        <w:rPr>
          <w:rFonts w:ascii="標楷體" w:eastAsia="標楷體" w:hAnsi="標楷體" w:hint="eastAsia"/>
        </w:rPr>
        <w:t>成處分，尚無法確認，</w:t>
      </w:r>
      <w:r w:rsidR="000349FF" w:rsidRPr="008C6E31">
        <w:rPr>
          <w:rFonts w:ascii="標楷體" w:eastAsia="標楷體" w:hAnsi="標楷體" w:hint="eastAsia"/>
        </w:rPr>
        <w:t>不過，預料應與修法前之施行細則不致有太大差異，但仍</w:t>
      </w:r>
      <w:r w:rsidR="00DF6F25" w:rsidRPr="008C6E31">
        <w:rPr>
          <w:rFonts w:ascii="標楷體" w:eastAsia="標楷體" w:hAnsi="標楷體" w:hint="eastAsia"/>
        </w:rPr>
        <w:t>提醒各退休同仁於收到任何通知</w:t>
      </w:r>
      <w:r w:rsidR="000349FF" w:rsidRPr="008C6E31">
        <w:rPr>
          <w:rFonts w:ascii="標楷體" w:eastAsia="標楷體" w:hAnsi="標楷體" w:hint="eastAsia"/>
        </w:rPr>
        <w:t>，請先注意公文最末的敘述或「教示」（在公文後提醒如何救濟</w:t>
      </w:r>
      <w:r w:rsidR="008C602C" w:rsidRPr="008C6E31">
        <w:rPr>
          <w:rFonts w:ascii="標楷體" w:eastAsia="標楷體" w:hAnsi="標楷體" w:hint="eastAsia"/>
        </w:rPr>
        <w:t>及救濟</w:t>
      </w:r>
      <w:r w:rsidR="00E24221" w:rsidRPr="008C6E31">
        <w:rPr>
          <w:rFonts w:ascii="標楷體" w:eastAsia="標楷體" w:hAnsi="標楷體" w:hint="eastAsia"/>
        </w:rPr>
        <w:t>法定</w:t>
      </w:r>
      <w:r w:rsidR="008C602C" w:rsidRPr="008C6E31">
        <w:rPr>
          <w:rFonts w:ascii="標楷體" w:eastAsia="標楷體" w:hAnsi="標楷體" w:hint="eastAsia"/>
        </w:rPr>
        <w:t>期限</w:t>
      </w:r>
      <w:r w:rsidR="000349FF" w:rsidRPr="008C6E31">
        <w:rPr>
          <w:rFonts w:ascii="標楷體" w:eastAsia="標楷體" w:hAnsi="標楷體" w:hint="eastAsia"/>
        </w:rPr>
        <w:t>的說明）的權利救濟提醒。</w:t>
      </w:r>
    </w:p>
    <w:p w:rsidR="000349FF" w:rsidRPr="008C6E31" w:rsidRDefault="000349FF" w:rsidP="00E24221">
      <w:pPr>
        <w:pStyle w:val="a3"/>
        <w:overflowPunct w:val="0"/>
        <w:jc w:val="both"/>
        <w:rPr>
          <w:rFonts w:ascii="標楷體" w:eastAsia="標楷體" w:hAnsi="標楷體"/>
          <w:b/>
        </w:rPr>
      </w:pPr>
    </w:p>
    <w:p w:rsidR="006D4EFE" w:rsidRPr="008C6E31" w:rsidRDefault="00414C38" w:rsidP="00E24221">
      <w:pPr>
        <w:pStyle w:val="a3"/>
        <w:numPr>
          <w:ilvl w:val="0"/>
          <w:numId w:val="1"/>
        </w:numPr>
        <w:overflowPunct w:val="0"/>
        <w:ind w:leftChars="0"/>
        <w:jc w:val="both"/>
        <w:rPr>
          <w:rFonts w:ascii="標楷體" w:eastAsia="標楷體" w:hAnsi="標楷體"/>
          <w:b/>
        </w:rPr>
      </w:pPr>
      <w:r w:rsidRPr="008C6E31">
        <w:rPr>
          <w:rFonts w:ascii="標楷體" w:eastAsia="標楷體" w:hAnsi="標楷體" w:hint="eastAsia"/>
          <w:b/>
        </w:rPr>
        <w:t>第一階段的</w:t>
      </w:r>
      <w:r w:rsidR="000349FF" w:rsidRPr="008C6E31">
        <w:rPr>
          <w:rFonts w:ascii="標楷體" w:eastAsia="標楷體" w:hAnsi="標楷體" w:hint="eastAsia"/>
          <w:b/>
        </w:rPr>
        <w:t>權利救濟途徑</w:t>
      </w:r>
      <w:r w:rsidRPr="008C6E31">
        <w:rPr>
          <w:rFonts w:ascii="標楷體" w:eastAsia="標楷體" w:hAnsi="標楷體" w:hint="eastAsia"/>
          <w:b/>
        </w:rPr>
        <w:t>：提起訴願或復審</w:t>
      </w:r>
    </w:p>
    <w:p w:rsidR="008F5BF2" w:rsidRPr="008C6E31" w:rsidRDefault="000349FF" w:rsidP="00E24221">
      <w:pPr>
        <w:overflowPunct w:val="0"/>
        <w:ind w:left="480"/>
        <w:jc w:val="both"/>
        <w:rPr>
          <w:rFonts w:ascii="標楷體" w:eastAsia="標楷體" w:hAnsi="標楷體"/>
        </w:rPr>
      </w:pPr>
      <w:r w:rsidRPr="008C6E31">
        <w:rPr>
          <w:rFonts w:ascii="標楷體" w:eastAsia="標楷體" w:hAnsi="標楷體" w:hint="eastAsia"/>
        </w:rPr>
        <w:t xml:space="preserve">    如上所述，修法前施行細則</w:t>
      </w:r>
      <w:r w:rsidR="007077DD" w:rsidRPr="008C6E31">
        <w:rPr>
          <w:rFonts w:ascii="標楷體" w:eastAsia="標楷體" w:hAnsi="標楷體" w:hint="eastAsia"/>
        </w:rPr>
        <w:t>第30條</w:t>
      </w:r>
      <w:r w:rsidRPr="008C6E31">
        <w:rPr>
          <w:rFonts w:ascii="標楷體" w:eastAsia="標楷體" w:hAnsi="標楷體" w:hint="eastAsia"/>
        </w:rPr>
        <w:t>規定：「</w:t>
      </w:r>
      <w:r w:rsidR="007077DD" w:rsidRPr="008C6E31">
        <w:rPr>
          <w:rFonts w:ascii="標楷體" w:eastAsia="標楷體" w:hAnsi="標楷體" w:hint="eastAsia"/>
        </w:rPr>
        <w:t>退休教職員或請領撫慰金遺族，對於退休案或撫慰金案審定之結果，如有不服，得依訴願法或準用公務人員保障法規定提起救濟。</w:t>
      </w:r>
      <w:r w:rsidRPr="008C6E31">
        <w:rPr>
          <w:rFonts w:ascii="標楷體" w:eastAsia="標楷體" w:hAnsi="標楷體" w:hint="eastAsia"/>
        </w:rPr>
        <w:t>」</w:t>
      </w:r>
      <w:r w:rsidR="00AF2AAD" w:rsidRPr="008C6E31">
        <w:rPr>
          <w:rFonts w:ascii="標楷體" w:eastAsia="標楷體" w:hAnsi="標楷體" w:hint="eastAsia"/>
        </w:rPr>
        <w:t>法律賦予二元的救濟途徑，不服之人可以</w:t>
      </w:r>
      <w:r w:rsidR="00E24221" w:rsidRPr="008C6E31">
        <w:rPr>
          <w:rFonts w:ascii="標楷體" w:eastAsia="標楷體" w:hAnsi="標楷體" w:hint="eastAsia"/>
        </w:rPr>
        <w:t>自訴願和復審中</w:t>
      </w:r>
      <w:r w:rsidR="00AF2AAD" w:rsidRPr="008C6E31">
        <w:rPr>
          <w:rFonts w:ascii="標楷體" w:eastAsia="標楷體" w:hAnsi="標楷體" w:hint="eastAsia"/>
        </w:rPr>
        <w:t>選擇其一，但提起復審後，不須再提起訴願，即可提起行政訴訟。</w:t>
      </w:r>
    </w:p>
    <w:p w:rsidR="00D511C9" w:rsidRPr="008C6E31" w:rsidRDefault="00D04448" w:rsidP="00E24221">
      <w:pPr>
        <w:overflowPunct w:val="0"/>
        <w:ind w:left="480"/>
        <w:jc w:val="both"/>
        <w:rPr>
          <w:rFonts w:ascii="標楷體" w:eastAsia="標楷體" w:hAnsi="標楷體"/>
        </w:rPr>
      </w:pPr>
      <w:r w:rsidRPr="008C6E31">
        <w:rPr>
          <w:rFonts w:ascii="標楷體" w:eastAsia="標楷體" w:hAnsi="標楷體" w:hint="eastAsia"/>
        </w:rPr>
        <w:t xml:space="preserve">    </w:t>
      </w:r>
      <w:r w:rsidR="00D511C9" w:rsidRPr="008C6E31">
        <w:rPr>
          <w:rFonts w:ascii="標楷體" w:eastAsia="標楷體" w:hAnsi="標楷體" w:hint="eastAsia"/>
        </w:rPr>
        <w:t>承上，如退休同仁不服修法後之教育局</w:t>
      </w:r>
      <w:r w:rsidR="00493DFE" w:rsidRPr="008C6E31">
        <w:rPr>
          <w:rFonts w:ascii="標楷體" w:eastAsia="標楷體" w:hAnsi="標楷體" w:hint="eastAsia"/>
        </w:rPr>
        <w:t>審定</w:t>
      </w:r>
      <w:r w:rsidR="006267BE" w:rsidRPr="008C6E31">
        <w:rPr>
          <w:rFonts w:ascii="標楷體" w:eastAsia="標楷體" w:hAnsi="標楷體" w:hint="eastAsia"/>
        </w:rPr>
        <w:t>或其他機關之核定處分</w:t>
      </w:r>
      <w:r w:rsidR="00493DFE" w:rsidRPr="008C6E31">
        <w:rPr>
          <w:rFonts w:ascii="標楷體" w:eastAsia="標楷體" w:hAnsi="標楷體" w:hint="eastAsia"/>
        </w:rPr>
        <w:t>，</w:t>
      </w:r>
      <w:r w:rsidR="009B7E84" w:rsidRPr="008C6E31">
        <w:rPr>
          <w:rFonts w:ascii="標楷體" w:eastAsia="標楷體" w:hAnsi="標楷體" w:hint="eastAsia"/>
        </w:rPr>
        <w:t>按訴願法第14</w:t>
      </w:r>
      <w:r w:rsidR="00D511C9" w:rsidRPr="008C6E31">
        <w:rPr>
          <w:rFonts w:ascii="標楷體" w:eastAsia="標楷體" w:hAnsi="標楷體" w:hint="eastAsia"/>
        </w:rPr>
        <w:t>條規定</w:t>
      </w:r>
      <w:r w:rsidR="00493DFE" w:rsidRPr="008C6E31">
        <w:rPr>
          <w:rFonts w:ascii="標楷體" w:eastAsia="標楷體" w:hAnsi="標楷體" w:hint="eastAsia"/>
        </w:rPr>
        <w:t>：「（第一項）</w:t>
      </w:r>
      <w:r w:rsidR="00B37D12" w:rsidRPr="008C6E31">
        <w:rPr>
          <w:rFonts w:ascii="標楷體" w:eastAsia="標楷體" w:hAnsi="標楷體" w:hint="eastAsia"/>
        </w:rPr>
        <w:t>訴願之提起，應自行政處分達到或公告期滿之次日起三十日內為之。</w:t>
      </w:r>
      <w:r w:rsidR="00493DFE" w:rsidRPr="008C6E31">
        <w:rPr>
          <w:rFonts w:ascii="標楷體" w:eastAsia="標楷體" w:hAnsi="標楷體"/>
        </w:rPr>
        <w:t>…</w:t>
      </w:r>
      <w:r w:rsidR="00493DFE" w:rsidRPr="008C6E31">
        <w:rPr>
          <w:rFonts w:ascii="標楷體" w:eastAsia="標楷體" w:hAnsi="標楷體" w:hint="eastAsia"/>
        </w:rPr>
        <w:t>（第三項）</w:t>
      </w:r>
      <w:r w:rsidR="00B37D12" w:rsidRPr="008C6E31">
        <w:rPr>
          <w:rFonts w:ascii="標楷體" w:eastAsia="標楷體" w:hAnsi="標楷體" w:hint="eastAsia"/>
        </w:rPr>
        <w:t>訴願之提起，以原行政處分機關或受理訴願機關收受訴願書之日期為準。</w:t>
      </w:r>
      <w:r w:rsidR="00493DFE" w:rsidRPr="008C6E31">
        <w:rPr>
          <w:rFonts w:ascii="標楷體" w:eastAsia="標楷體" w:hAnsi="標楷體" w:hint="eastAsia"/>
        </w:rPr>
        <w:t>（第四項）</w:t>
      </w:r>
      <w:r w:rsidR="00B37D12" w:rsidRPr="008C6E31">
        <w:rPr>
          <w:rFonts w:ascii="標楷體" w:eastAsia="標楷體" w:hAnsi="標楷體" w:hint="eastAsia"/>
        </w:rPr>
        <w:t>訴願人誤向原行政處分機關或受理訴願機關以外之機關提起訴願者，以該機關收受之日，視為提起訴願之日。</w:t>
      </w:r>
      <w:r w:rsidR="00D511C9" w:rsidRPr="008C6E31">
        <w:rPr>
          <w:rFonts w:ascii="標楷體" w:eastAsia="標楷體" w:hAnsi="標楷體" w:hint="eastAsia"/>
        </w:rPr>
        <w:t>），或</w:t>
      </w:r>
      <w:r w:rsidR="00493DFE" w:rsidRPr="008C6E31">
        <w:rPr>
          <w:rFonts w:ascii="標楷體" w:eastAsia="標楷體" w:hAnsi="標楷體" w:hint="eastAsia"/>
        </w:rPr>
        <w:t>依</w:t>
      </w:r>
      <w:r w:rsidR="00FD28D2" w:rsidRPr="008C6E31">
        <w:rPr>
          <w:rFonts w:ascii="標楷體" w:eastAsia="標楷體" w:hAnsi="標楷體" w:hint="eastAsia"/>
        </w:rPr>
        <w:t>公務人員保障法第30</w:t>
      </w:r>
      <w:r w:rsidR="00D511C9" w:rsidRPr="008C6E31">
        <w:rPr>
          <w:rFonts w:ascii="標楷體" w:eastAsia="標楷體" w:hAnsi="標楷體" w:hint="eastAsia"/>
        </w:rPr>
        <w:t>條規定</w:t>
      </w:r>
      <w:r w:rsidR="00493DFE" w:rsidRPr="008C6E31">
        <w:rPr>
          <w:rFonts w:ascii="標楷體" w:eastAsia="標楷體" w:hAnsi="標楷體" w:hint="eastAsia"/>
        </w:rPr>
        <w:t>：「（第一項）</w:t>
      </w:r>
      <w:r w:rsidR="00D511C9" w:rsidRPr="008C6E31">
        <w:rPr>
          <w:rFonts w:ascii="標楷體" w:eastAsia="標楷體" w:hAnsi="標楷體" w:hint="eastAsia"/>
        </w:rPr>
        <w:t>復審之提起，應自行政處分達到之次日起三十日內為之。</w:t>
      </w:r>
      <w:r w:rsidR="00493DFE" w:rsidRPr="008C6E31">
        <w:rPr>
          <w:rFonts w:ascii="標楷體" w:eastAsia="標楷體" w:hAnsi="標楷體" w:hint="eastAsia"/>
        </w:rPr>
        <w:t>（第二項）</w:t>
      </w:r>
      <w:r w:rsidR="00D511C9" w:rsidRPr="008C6E31">
        <w:rPr>
          <w:rFonts w:ascii="標楷體" w:eastAsia="標楷體" w:hAnsi="標楷體" w:hint="eastAsia"/>
        </w:rPr>
        <w:t>前項期間，以原處分機關收受復審書之日期為準。</w:t>
      </w:r>
      <w:r w:rsidR="00493DFE" w:rsidRPr="008C6E31">
        <w:rPr>
          <w:rFonts w:ascii="標楷體" w:eastAsia="標楷體" w:hAnsi="標楷體" w:hint="eastAsia"/>
        </w:rPr>
        <w:t>（第三項）</w:t>
      </w:r>
      <w:r w:rsidR="00D511C9" w:rsidRPr="008C6E31">
        <w:rPr>
          <w:rFonts w:ascii="標楷體" w:eastAsia="標楷體" w:hAnsi="標楷體" w:hint="eastAsia"/>
        </w:rPr>
        <w:t>復審人誤向原處分機關以外機關提起復審者，以該機關收受之日，視為提起復審之日。</w:t>
      </w:r>
      <w:r w:rsidR="00493DFE" w:rsidRPr="008C6E31">
        <w:rPr>
          <w:rFonts w:ascii="標楷體" w:eastAsia="標楷體" w:hAnsi="標楷體" w:hint="eastAsia"/>
        </w:rPr>
        <w:t>」</w:t>
      </w:r>
      <w:r w:rsidR="00A91D95" w:rsidRPr="008C6E31">
        <w:rPr>
          <w:rFonts w:ascii="標楷體" w:eastAsia="標楷體" w:hAnsi="標楷體" w:hint="eastAsia"/>
        </w:rPr>
        <w:t>，都必須在收到</w:t>
      </w:r>
      <w:r w:rsidR="006267BE" w:rsidRPr="008C6E31">
        <w:rPr>
          <w:rFonts w:ascii="標楷體" w:eastAsia="標楷體" w:hAnsi="標楷體" w:hint="eastAsia"/>
        </w:rPr>
        <w:t>處分函</w:t>
      </w:r>
      <w:r w:rsidR="00A91D95" w:rsidRPr="008C6E31">
        <w:rPr>
          <w:rFonts w:ascii="標楷體" w:eastAsia="標楷體" w:hAnsi="標楷體" w:hint="eastAsia"/>
        </w:rPr>
        <w:t>公文之翌日起算三十日內提起訴願或復審（此</w:t>
      </w:r>
      <w:r w:rsidR="00A91D95" w:rsidRPr="008C6E31">
        <w:rPr>
          <w:rFonts w:ascii="標楷體" w:eastAsia="標楷體" w:hAnsi="標楷體" w:hint="eastAsia"/>
        </w:rPr>
        <w:lastRenderedPageBreak/>
        <w:t>涉及同仁之權益，因此並非提起申訴、再申訴）。</w:t>
      </w:r>
      <w:r w:rsidR="006267BE" w:rsidRPr="008C6E31">
        <w:rPr>
          <w:rFonts w:ascii="標楷體" w:eastAsia="標楷體" w:hAnsi="標楷體" w:hint="eastAsia"/>
        </w:rPr>
        <w:t>以教育局之處分函為例，就該局行政處分提起訴願是向教育局之上級機關市政府提起訴願；至於</w:t>
      </w:r>
      <w:r w:rsidR="00A91D95" w:rsidRPr="008C6E31">
        <w:rPr>
          <w:rFonts w:ascii="標楷體" w:eastAsia="標楷體" w:hAnsi="標楷體" w:hint="eastAsia"/>
        </w:rPr>
        <w:t>提起復審是向公務人員保障暨培訓委員會提起。</w:t>
      </w:r>
    </w:p>
    <w:p w:rsidR="00274822" w:rsidRPr="008C6E31" w:rsidRDefault="00274822" w:rsidP="00E24221">
      <w:pPr>
        <w:overflowPunct w:val="0"/>
        <w:ind w:left="480"/>
        <w:jc w:val="both"/>
        <w:rPr>
          <w:rFonts w:ascii="標楷體" w:eastAsia="標楷體" w:hAnsi="標楷體"/>
        </w:rPr>
      </w:pPr>
      <w:r w:rsidRPr="008C6E31">
        <w:rPr>
          <w:rFonts w:ascii="標楷體" w:eastAsia="標楷體" w:hAnsi="標楷體" w:hint="eastAsia"/>
        </w:rPr>
        <w:t xml:space="preserve">    要提醒同仁注意，所謂行政處分「達到」，是指行政處分依照法律規定合法送達即可，不是以同仁真正收到或開啟</w:t>
      </w:r>
      <w:r w:rsidR="006267BE" w:rsidRPr="008C6E31">
        <w:rPr>
          <w:rFonts w:ascii="標楷體" w:eastAsia="標楷體" w:hAnsi="標楷體" w:hint="eastAsia"/>
        </w:rPr>
        <w:t>公文</w:t>
      </w:r>
      <w:r w:rsidRPr="008C6E31">
        <w:rPr>
          <w:rFonts w:ascii="標楷體" w:eastAsia="標楷體" w:hAnsi="標楷體" w:hint="eastAsia"/>
        </w:rPr>
        <w:t>為斷。</w:t>
      </w:r>
      <w:r w:rsidR="009B7E84" w:rsidRPr="008C6E31">
        <w:rPr>
          <w:rFonts w:ascii="標楷體" w:eastAsia="標楷體" w:hAnsi="標楷體" w:hint="eastAsia"/>
        </w:rPr>
        <w:t>送達的相關規定，行政程序法第68</w:t>
      </w:r>
      <w:r w:rsidR="00414C38" w:rsidRPr="008C6E31">
        <w:rPr>
          <w:rFonts w:ascii="標楷體" w:eastAsia="標楷體" w:hAnsi="標楷體" w:hint="eastAsia"/>
        </w:rPr>
        <w:t>條以下有詳細規定，在此不予贅述。</w:t>
      </w:r>
    </w:p>
    <w:p w:rsidR="00274822" w:rsidRPr="008C6E31" w:rsidRDefault="00274822" w:rsidP="00E24221">
      <w:pPr>
        <w:overflowPunct w:val="0"/>
        <w:ind w:left="480"/>
        <w:jc w:val="both"/>
        <w:rPr>
          <w:rFonts w:ascii="標楷體" w:eastAsia="標楷體" w:hAnsi="標楷體"/>
          <w:b/>
        </w:rPr>
      </w:pPr>
    </w:p>
    <w:p w:rsidR="008F5BF2" w:rsidRPr="008C6E31" w:rsidRDefault="00414C38" w:rsidP="00E24221">
      <w:pPr>
        <w:pStyle w:val="a3"/>
        <w:numPr>
          <w:ilvl w:val="0"/>
          <w:numId w:val="1"/>
        </w:numPr>
        <w:overflowPunct w:val="0"/>
        <w:ind w:leftChars="0"/>
        <w:jc w:val="both"/>
        <w:rPr>
          <w:rFonts w:ascii="標楷體" w:eastAsia="標楷體" w:hAnsi="標楷體"/>
          <w:b/>
        </w:rPr>
      </w:pPr>
      <w:r w:rsidRPr="008C6E31">
        <w:rPr>
          <w:rFonts w:ascii="標楷體" w:eastAsia="標楷體" w:hAnsi="標楷體" w:hint="eastAsia"/>
          <w:b/>
        </w:rPr>
        <w:t>第二階段權利救濟：提起行政訴訟</w:t>
      </w:r>
    </w:p>
    <w:p w:rsidR="00414C38" w:rsidRPr="008C6E31" w:rsidRDefault="00493DFE" w:rsidP="00E24221">
      <w:pPr>
        <w:pStyle w:val="a3"/>
        <w:overflowPunct w:val="0"/>
        <w:ind w:leftChars="0"/>
        <w:jc w:val="both"/>
        <w:rPr>
          <w:rFonts w:ascii="標楷體" w:eastAsia="標楷體" w:hAnsi="標楷體"/>
        </w:rPr>
      </w:pPr>
      <w:r w:rsidRPr="008C6E31">
        <w:rPr>
          <w:rFonts w:ascii="標楷體" w:eastAsia="標楷體" w:hAnsi="標楷體" w:hint="eastAsia"/>
        </w:rPr>
        <w:t xml:space="preserve">    </w:t>
      </w:r>
      <w:r w:rsidR="00692545" w:rsidRPr="008C6E31">
        <w:rPr>
          <w:rFonts w:ascii="標楷體" w:eastAsia="標楷體" w:hAnsi="標楷體" w:hint="eastAsia"/>
        </w:rPr>
        <w:t>部分媒體或資訊曾提及可向法院提起民事訴訟，恐怕是嚴重誤解，因為退休金給付是公法事件，</w:t>
      </w:r>
      <w:r w:rsidR="006267BE" w:rsidRPr="008C6E31">
        <w:rPr>
          <w:rFonts w:ascii="標楷體" w:eastAsia="標楷體" w:hAnsi="標楷體" w:hint="eastAsia"/>
        </w:rPr>
        <w:t>除非另有訴訟考量外，</w:t>
      </w:r>
      <w:r w:rsidR="00692545" w:rsidRPr="008C6E31">
        <w:rPr>
          <w:rFonts w:ascii="標楷體" w:eastAsia="標楷體" w:hAnsi="標楷體" w:hint="eastAsia"/>
        </w:rPr>
        <w:t>按照目前法律規定，應該是</w:t>
      </w:r>
      <w:r w:rsidR="00D9242E" w:rsidRPr="008C6E31">
        <w:rPr>
          <w:rFonts w:ascii="標楷體" w:eastAsia="標楷體" w:hAnsi="標楷體" w:hint="eastAsia"/>
        </w:rPr>
        <w:t>向行政法院</w:t>
      </w:r>
      <w:r w:rsidR="00692545" w:rsidRPr="008C6E31">
        <w:rPr>
          <w:rFonts w:ascii="標楷體" w:eastAsia="標楷體" w:hAnsi="標楷體" w:hint="eastAsia"/>
        </w:rPr>
        <w:t>提起</w:t>
      </w:r>
      <w:r w:rsidR="002A5F4B" w:rsidRPr="008C6E31">
        <w:rPr>
          <w:rFonts w:ascii="標楷體" w:eastAsia="標楷體" w:hAnsi="標楷體" w:hint="eastAsia"/>
        </w:rPr>
        <w:t>行政訴訟</w:t>
      </w:r>
      <w:r w:rsidRPr="008C6E31">
        <w:rPr>
          <w:rFonts w:ascii="標楷體" w:eastAsia="標楷體" w:hAnsi="標楷體" w:hint="eastAsia"/>
        </w:rPr>
        <w:t>。</w:t>
      </w:r>
    </w:p>
    <w:p w:rsidR="00493DFE" w:rsidRPr="008C6E31" w:rsidRDefault="00493DFE" w:rsidP="00E24221">
      <w:pPr>
        <w:pStyle w:val="a3"/>
        <w:overflowPunct w:val="0"/>
        <w:ind w:leftChars="0"/>
        <w:jc w:val="both"/>
        <w:rPr>
          <w:rFonts w:ascii="標楷體" w:eastAsia="標楷體" w:hAnsi="標楷體"/>
        </w:rPr>
      </w:pPr>
      <w:r w:rsidRPr="008C6E31">
        <w:rPr>
          <w:rFonts w:ascii="標楷體" w:eastAsia="標楷體" w:hAnsi="標楷體" w:hint="eastAsia"/>
        </w:rPr>
        <w:t xml:space="preserve">    </w:t>
      </w:r>
      <w:r w:rsidR="009B7E84" w:rsidRPr="008C6E31">
        <w:rPr>
          <w:rFonts w:ascii="標楷體" w:eastAsia="標楷體" w:hAnsi="標楷體" w:hint="eastAsia"/>
        </w:rPr>
        <w:t>按行政訴訟法第106條第3</w:t>
      </w:r>
      <w:r w:rsidRPr="008C6E31">
        <w:rPr>
          <w:rFonts w:ascii="標楷體" w:eastAsia="標楷體" w:hAnsi="標楷體" w:hint="eastAsia"/>
        </w:rPr>
        <w:t>項規定：「不經訴願程序即得提起第四條或第五條第二項之訴訟者，應於行政處分達到或公告後二個月之不變期間內為之。」</w:t>
      </w:r>
      <w:r w:rsidR="005E1720" w:rsidRPr="008C6E31">
        <w:rPr>
          <w:rFonts w:ascii="標楷體" w:eastAsia="標楷體" w:hAnsi="標楷體" w:hint="eastAsia"/>
        </w:rPr>
        <w:t>除非有其他訴訟考量，否則相關行政訴訟應是提起撤銷訴訟，從而，同仁如</w:t>
      </w:r>
      <w:r w:rsidRPr="008C6E31">
        <w:rPr>
          <w:rFonts w:ascii="標楷體" w:eastAsia="標楷體" w:hAnsi="標楷體" w:hint="eastAsia"/>
        </w:rPr>
        <w:t>收到訴願</w:t>
      </w:r>
      <w:r w:rsidR="005E1720" w:rsidRPr="008C6E31">
        <w:rPr>
          <w:rFonts w:ascii="標楷體" w:eastAsia="標楷體" w:hAnsi="標楷體" w:hint="eastAsia"/>
        </w:rPr>
        <w:t>決定</w:t>
      </w:r>
      <w:r w:rsidRPr="008C6E31">
        <w:rPr>
          <w:rFonts w:ascii="標楷體" w:eastAsia="標楷體" w:hAnsi="標楷體" w:hint="eastAsia"/>
        </w:rPr>
        <w:t>書或復審決定書而有不服</w:t>
      </w:r>
      <w:r w:rsidR="005E1720" w:rsidRPr="008C6E31">
        <w:rPr>
          <w:rFonts w:ascii="標楷體" w:eastAsia="標楷體" w:hAnsi="標楷體" w:hint="eastAsia"/>
        </w:rPr>
        <w:t>，應於送達後二個月內</w:t>
      </w:r>
      <w:r w:rsidR="001E1100">
        <w:rPr>
          <w:rFonts w:ascii="標楷體" w:eastAsia="標楷體" w:hAnsi="標楷體" w:hint="eastAsia"/>
        </w:rPr>
        <w:t>，向行政法院</w:t>
      </w:r>
      <w:r w:rsidR="005E1720" w:rsidRPr="008C6E31">
        <w:rPr>
          <w:rFonts w:ascii="標楷體" w:eastAsia="標楷體" w:hAnsi="標楷體" w:hint="eastAsia"/>
        </w:rPr>
        <w:t>提起行政訴訟。</w:t>
      </w:r>
    </w:p>
    <w:p w:rsidR="00A70305" w:rsidRPr="008C6E31" w:rsidRDefault="00A70305" w:rsidP="00E24221">
      <w:pPr>
        <w:pStyle w:val="a3"/>
        <w:overflowPunct w:val="0"/>
        <w:ind w:leftChars="0"/>
        <w:jc w:val="both"/>
        <w:rPr>
          <w:rFonts w:ascii="標楷體" w:eastAsia="標楷體" w:hAnsi="標楷體"/>
        </w:rPr>
      </w:pPr>
      <w:r w:rsidRPr="008C6E31">
        <w:rPr>
          <w:rFonts w:ascii="標楷體" w:eastAsia="標楷體" w:hAnsi="標楷體" w:hint="eastAsia"/>
        </w:rPr>
        <w:t xml:space="preserve">    行政訴訟目前為三級二審，相關行政訴訟第一審級應該是由各管轄之高等行政法院審理，審理期間，由受命法官一人先行進行準備程序，辯論程序由三位法官合議審理。不服高等行政法院判決提起上訴，第二審則由最高行政法院審理，合議庭為五名法官。</w:t>
      </w:r>
    </w:p>
    <w:p w:rsidR="006267BE" w:rsidRPr="008C6E31" w:rsidRDefault="005E1720" w:rsidP="00E24221">
      <w:pPr>
        <w:pStyle w:val="a3"/>
        <w:overflowPunct w:val="0"/>
        <w:ind w:leftChars="0"/>
        <w:jc w:val="both"/>
        <w:rPr>
          <w:rFonts w:ascii="標楷體" w:eastAsia="標楷體" w:hAnsi="標楷體"/>
        </w:rPr>
      </w:pPr>
      <w:r w:rsidRPr="008C6E31">
        <w:rPr>
          <w:rFonts w:ascii="標楷體" w:eastAsia="標楷體" w:hAnsi="標楷體" w:hint="eastAsia"/>
        </w:rPr>
        <w:t xml:space="preserve">    </w:t>
      </w:r>
      <w:r w:rsidR="00A70305" w:rsidRPr="008C6E31">
        <w:rPr>
          <w:rFonts w:ascii="標楷體" w:eastAsia="標楷體" w:hAnsi="標楷體" w:hint="eastAsia"/>
        </w:rPr>
        <w:t>於行政法院審理案件期間，高等行政法院或最高行政法院等承辦法官</w:t>
      </w:r>
      <w:r w:rsidRPr="008C6E31">
        <w:rPr>
          <w:rFonts w:ascii="標楷體" w:eastAsia="標楷體" w:hAnsi="標楷體" w:hint="eastAsia"/>
        </w:rPr>
        <w:t>如認為新法有違憲之虞，可依規定向司法院大法官聲請釋憲</w:t>
      </w:r>
      <w:r w:rsidR="00D9242E" w:rsidRPr="008C6E31">
        <w:rPr>
          <w:rFonts w:ascii="標楷體" w:eastAsia="標楷體" w:hAnsi="標楷體" w:hint="eastAsia"/>
        </w:rPr>
        <w:t>（司法院大法官審理案件法第5條第2</w:t>
      </w:r>
      <w:r w:rsidR="00A47F20" w:rsidRPr="008C6E31">
        <w:rPr>
          <w:rFonts w:ascii="標楷體" w:eastAsia="標楷體" w:hAnsi="標楷體" w:hint="eastAsia"/>
        </w:rPr>
        <w:t>項規定參見）</w:t>
      </w:r>
      <w:r w:rsidRPr="008C6E31">
        <w:rPr>
          <w:rFonts w:ascii="標楷體" w:eastAsia="標楷體" w:hAnsi="標楷體" w:hint="eastAsia"/>
        </w:rPr>
        <w:t>，大法官依照規定，應優先受理。</w:t>
      </w:r>
    </w:p>
    <w:p w:rsidR="005E1720" w:rsidRPr="008C6E31" w:rsidRDefault="006267BE" w:rsidP="00E24221">
      <w:pPr>
        <w:pStyle w:val="a3"/>
        <w:overflowPunct w:val="0"/>
        <w:ind w:leftChars="0"/>
        <w:jc w:val="both"/>
        <w:rPr>
          <w:rFonts w:ascii="標楷體" w:eastAsia="標楷體" w:hAnsi="標楷體"/>
        </w:rPr>
      </w:pPr>
      <w:r w:rsidRPr="008C6E31">
        <w:rPr>
          <w:rFonts w:ascii="標楷體" w:eastAsia="標楷體" w:hAnsi="標楷體" w:hint="eastAsia"/>
        </w:rPr>
        <w:t xml:space="preserve">    </w:t>
      </w:r>
      <w:r w:rsidR="00A47F20" w:rsidRPr="008C6E31">
        <w:rPr>
          <w:rFonts w:ascii="標楷體" w:eastAsia="標楷體" w:hAnsi="標楷體" w:hint="eastAsia"/>
        </w:rPr>
        <w:t>訴訟中，當事人得聲請法官停止審判向大法官聲請釋憲，但不得逕自聲請釋憲。</w:t>
      </w:r>
    </w:p>
    <w:p w:rsidR="005E1720" w:rsidRPr="008C6E31" w:rsidRDefault="005E1720" w:rsidP="00E24221">
      <w:pPr>
        <w:pStyle w:val="a3"/>
        <w:overflowPunct w:val="0"/>
        <w:ind w:leftChars="0"/>
        <w:jc w:val="both"/>
        <w:rPr>
          <w:rFonts w:ascii="標楷體" w:eastAsia="標楷體" w:hAnsi="標楷體"/>
          <w:b/>
        </w:rPr>
      </w:pPr>
    </w:p>
    <w:p w:rsidR="00A47F20" w:rsidRPr="008C6E31" w:rsidRDefault="00A47F20" w:rsidP="00E24221">
      <w:pPr>
        <w:pStyle w:val="a3"/>
        <w:numPr>
          <w:ilvl w:val="0"/>
          <w:numId w:val="1"/>
        </w:numPr>
        <w:overflowPunct w:val="0"/>
        <w:ind w:leftChars="0"/>
        <w:jc w:val="both"/>
        <w:rPr>
          <w:rFonts w:ascii="標楷體" w:eastAsia="標楷體" w:hAnsi="標楷體"/>
        </w:rPr>
      </w:pPr>
      <w:r w:rsidRPr="008C6E31">
        <w:rPr>
          <w:rFonts w:ascii="標楷體" w:eastAsia="標楷體" w:hAnsi="標楷體" w:hint="eastAsia"/>
          <w:b/>
        </w:rPr>
        <w:t>第三階段權利救濟：釋憲</w:t>
      </w:r>
    </w:p>
    <w:p w:rsidR="00A47F20" w:rsidRPr="008C6E31" w:rsidRDefault="00D9242E" w:rsidP="00E24221">
      <w:pPr>
        <w:pStyle w:val="a3"/>
        <w:overflowPunct w:val="0"/>
        <w:ind w:firstLineChars="200" w:firstLine="480"/>
        <w:jc w:val="both"/>
        <w:rPr>
          <w:rFonts w:ascii="標楷體" w:eastAsia="標楷體" w:hAnsi="標楷體"/>
        </w:rPr>
      </w:pPr>
      <w:r w:rsidRPr="008C6E31">
        <w:rPr>
          <w:rFonts w:ascii="標楷體" w:eastAsia="標楷體" w:hAnsi="標楷體" w:hint="eastAsia"/>
        </w:rPr>
        <w:t>依司法院大法官審理案件法第5條第1項第2</w:t>
      </w:r>
      <w:r w:rsidR="00A47F20" w:rsidRPr="008C6E31">
        <w:rPr>
          <w:rFonts w:ascii="標楷體" w:eastAsia="標楷體" w:hAnsi="標楷體" w:hint="eastAsia"/>
        </w:rPr>
        <w:t>款規定：「有左列情形之一者，得聲請解釋憲法：</w:t>
      </w:r>
      <w:r w:rsidR="00A47F20" w:rsidRPr="008C6E31">
        <w:rPr>
          <w:rFonts w:ascii="標楷體" w:eastAsia="標楷體" w:hAnsi="標楷體"/>
        </w:rPr>
        <w:t>……</w:t>
      </w:r>
      <w:r w:rsidR="00A47F20" w:rsidRPr="008C6E31">
        <w:rPr>
          <w:rFonts w:ascii="標楷體" w:eastAsia="標楷體" w:hAnsi="標楷體" w:hint="eastAsia"/>
        </w:rPr>
        <w:t>二、人民、法人或政黨於其憲法上所保障之權利，遭受不法侵害，經依法定程序提起訴訟，對於確定終局裁判所適用之法律或命令發生有牴觸憲法之疑義者。」，因此，如不服最高行政法院判決後，可聲請釋憲。</w:t>
      </w:r>
    </w:p>
    <w:p w:rsidR="001F3C19" w:rsidRPr="008C6E31" w:rsidRDefault="00D6390C" w:rsidP="00E24221">
      <w:pPr>
        <w:pStyle w:val="a3"/>
        <w:overflowPunct w:val="0"/>
        <w:ind w:firstLineChars="200" w:firstLine="480"/>
        <w:jc w:val="both"/>
        <w:rPr>
          <w:rFonts w:ascii="標楷體" w:eastAsia="標楷體" w:hAnsi="標楷體"/>
        </w:rPr>
      </w:pPr>
      <w:r w:rsidRPr="008C6E31">
        <w:rPr>
          <w:rFonts w:ascii="標楷體" w:eastAsia="標楷體" w:hAnsi="標楷體" w:hint="eastAsia"/>
        </w:rPr>
        <w:t>大法官釋字第</w:t>
      </w:r>
      <w:r w:rsidR="00D9242E" w:rsidRPr="008C6E31">
        <w:rPr>
          <w:rFonts w:ascii="標楷體" w:eastAsia="標楷體" w:hAnsi="標楷體" w:hint="eastAsia"/>
        </w:rPr>
        <w:t>725</w:t>
      </w:r>
      <w:r w:rsidRPr="008C6E31">
        <w:rPr>
          <w:rFonts w:ascii="標楷體" w:eastAsia="標楷體" w:hAnsi="標楷體" w:hint="eastAsia"/>
        </w:rPr>
        <w:t>號解釋：「本院就人民聲請解釋憲法，宣告確定終局裁判所適用之法令於一定期限後失效者，聲請人就聲請釋憲之原因案件即得據以請求再審或其他救濟，檢察總長亦得據以提起非常上訴；法院不得以該法令於該期限內仍屬有效為理由駁回。如本院解釋諭知原因案件具體之救濟方法者，依其諭知；如未諭知，則俟新法令公布、發布生效後依新法令裁判。本院釋字第一七七號及第一八五號解釋應予補充。最高行政法院九十七年判字第六一五號判例與本解釋意旨不符部分，應不再援用。行政訴訟法第二百七十三條第二項得提起再審之訴之規定，並不排除確定終局判決所適用之法令經本院解釋為牴觸憲法而宣告定期失效之情形。」</w:t>
      </w:r>
      <w:r w:rsidR="001F3C19" w:rsidRPr="008C6E31">
        <w:rPr>
          <w:rFonts w:ascii="標楷體" w:eastAsia="標楷體" w:hAnsi="標楷體" w:hint="eastAsia"/>
        </w:rPr>
        <w:t>本人為</w:t>
      </w:r>
      <w:r w:rsidRPr="008C6E31">
        <w:rPr>
          <w:rFonts w:ascii="標楷體" w:eastAsia="標楷體" w:hAnsi="標楷體" w:hint="eastAsia"/>
        </w:rPr>
        <w:t>該號解釋</w:t>
      </w:r>
      <w:r w:rsidR="001F3C19" w:rsidRPr="008C6E31">
        <w:rPr>
          <w:rFonts w:ascii="標楷體" w:eastAsia="標楷體" w:hAnsi="標楷體" w:hint="eastAsia"/>
        </w:rPr>
        <w:t>之</w:t>
      </w:r>
      <w:r w:rsidRPr="008C6E31">
        <w:rPr>
          <w:rFonts w:ascii="標楷體" w:eastAsia="標楷體" w:hAnsi="標楷體" w:hint="eastAsia"/>
        </w:rPr>
        <w:t>聲請</w:t>
      </w:r>
      <w:r w:rsidR="001F3C19" w:rsidRPr="008C6E31">
        <w:rPr>
          <w:rFonts w:ascii="標楷體" w:eastAsia="標楷體" w:hAnsi="標楷體" w:hint="eastAsia"/>
        </w:rPr>
        <w:t>釋憲</w:t>
      </w:r>
      <w:r w:rsidRPr="008C6E31">
        <w:rPr>
          <w:rFonts w:ascii="標楷體" w:eastAsia="標楷體" w:hAnsi="標楷體" w:hint="eastAsia"/>
        </w:rPr>
        <w:t>代理人。</w:t>
      </w:r>
    </w:p>
    <w:p w:rsidR="00D6390C" w:rsidRDefault="00D6390C" w:rsidP="00E24221">
      <w:pPr>
        <w:pStyle w:val="a3"/>
        <w:overflowPunct w:val="0"/>
        <w:ind w:firstLineChars="200" w:firstLine="480"/>
        <w:jc w:val="both"/>
        <w:rPr>
          <w:rFonts w:ascii="標楷體" w:eastAsia="標楷體" w:hAnsi="標楷體"/>
        </w:rPr>
      </w:pPr>
      <w:r w:rsidRPr="008C6E31">
        <w:rPr>
          <w:rFonts w:ascii="標楷體" w:eastAsia="標楷體" w:hAnsi="標楷體" w:hint="eastAsia"/>
        </w:rPr>
        <w:t>依該號解釋</w:t>
      </w:r>
      <w:r w:rsidR="00D9242E" w:rsidRPr="008C6E31">
        <w:rPr>
          <w:rFonts w:ascii="標楷體" w:eastAsia="標楷體" w:hAnsi="標楷體" w:hint="eastAsia"/>
        </w:rPr>
        <w:t>及釋字第741</w:t>
      </w:r>
      <w:r w:rsidR="001554F3" w:rsidRPr="008C6E31">
        <w:rPr>
          <w:rFonts w:ascii="標楷體" w:eastAsia="標楷體" w:hAnsi="標楷體" w:hint="eastAsia"/>
        </w:rPr>
        <w:t>號解釋等</w:t>
      </w:r>
      <w:r w:rsidRPr="008C6E31">
        <w:rPr>
          <w:rFonts w:ascii="標楷體" w:eastAsia="標楷體" w:hAnsi="標楷體" w:hint="eastAsia"/>
        </w:rPr>
        <w:t>意旨，不論大法官日後宣告新法立即失效或定期失效，有提起聲請釋憲之人均可提起再審或非常上訴</w:t>
      </w:r>
      <w:r w:rsidR="001F3C19" w:rsidRPr="008C6E31">
        <w:rPr>
          <w:rFonts w:ascii="標楷體" w:eastAsia="標楷體" w:hAnsi="標楷體" w:hint="eastAsia"/>
        </w:rPr>
        <w:t>。</w:t>
      </w:r>
      <w:r w:rsidRPr="008C6E31">
        <w:rPr>
          <w:rFonts w:ascii="標楷體" w:eastAsia="標楷體" w:hAnsi="標楷體" w:hint="eastAsia"/>
        </w:rPr>
        <w:t>本爭議類型之行政訴訟</w:t>
      </w:r>
      <w:r w:rsidR="001F3C19" w:rsidRPr="008C6E31">
        <w:rPr>
          <w:rFonts w:ascii="標楷體" w:eastAsia="標楷體" w:hAnsi="標楷體" w:hint="eastAsia"/>
        </w:rPr>
        <w:t>，</w:t>
      </w:r>
      <w:r w:rsidR="00D9242E" w:rsidRPr="008C6E31">
        <w:rPr>
          <w:rFonts w:ascii="標楷體" w:eastAsia="標楷體" w:hAnsi="標楷體" w:hint="eastAsia"/>
        </w:rPr>
        <w:t>得依行政訴訟法第273條第2</w:t>
      </w:r>
      <w:r w:rsidRPr="008C6E31">
        <w:rPr>
          <w:rFonts w:ascii="標楷體" w:eastAsia="標楷體" w:hAnsi="標楷體" w:hint="eastAsia"/>
        </w:rPr>
        <w:t>項規定提起再審</w:t>
      </w:r>
      <w:r w:rsidR="001F3C19" w:rsidRPr="008C6E31">
        <w:rPr>
          <w:rFonts w:ascii="標楷體" w:eastAsia="標楷體" w:hAnsi="標楷體" w:hint="eastAsia"/>
        </w:rPr>
        <w:t>。至於</w:t>
      </w:r>
      <w:r w:rsidRPr="008C6E31">
        <w:rPr>
          <w:rFonts w:ascii="標楷體" w:eastAsia="標楷體" w:hAnsi="標楷體" w:hint="eastAsia"/>
        </w:rPr>
        <w:t>如未聲請釋憲者，則無前述提起再審或非常上訴的個案救濟權利</w:t>
      </w:r>
      <w:r w:rsidR="00FD28D2" w:rsidRPr="008C6E31">
        <w:rPr>
          <w:rFonts w:ascii="標楷體" w:eastAsia="標楷體" w:hAnsi="標楷體" w:hint="eastAsia"/>
        </w:rPr>
        <w:t>，而無再提起救濟之可能</w:t>
      </w:r>
      <w:r w:rsidRPr="008C6E31">
        <w:rPr>
          <w:rFonts w:ascii="標楷體" w:eastAsia="標楷體" w:hAnsi="標楷體" w:hint="eastAsia"/>
        </w:rPr>
        <w:t>。</w:t>
      </w:r>
    </w:p>
    <w:p w:rsidR="00FB061E" w:rsidRPr="00A47F20" w:rsidRDefault="00FB061E" w:rsidP="00E24221">
      <w:pPr>
        <w:pStyle w:val="a3"/>
        <w:overflowPunct w:val="0"/>
        <w:ind w:firstLineChars="200" w:firstLine="480"/>
        <w:jc w:val="both"/>
        <w:rPr>
          <w:rFonts w:ascii="標楷體" w:eastAsia="標楷體" w:hAnsi="標楷體"/>
        </w:rPr>
      </w:pPr>
    </w:p>
    <w:p w:rsidR="00A47F20" w:rsidRPr="006267BE" w:rsidRDefault="00A47F20" w:rsidP="00E24221">
      <w:pPr>
        <w:overflowPunct w:val="0"/>
        <w:jc w:val="both"/>
        <w:rPr>
          <w:rFonts w:ascii="標楷體" w:eastAsia="標楷體" w:hAnsi="標楷體"/>
        </w:rPr>
      </w:pPr>
    </w:p>
    <w:sectPr w:rsidR="00A47F20" w:rsidRPr="006267BE" w:rsidSect="00BD6604">
      <w:pgSz w:w="11906" w:h="16838"/>
      <w:pgMar w:top="567"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F1" w:rsidRDefault="009F6FF1" w:rsidP="000349FF">
      <w:r>
        <w:separator/>
      </w:r>
    </w:p>
  </w:endnote>
  <w:endnote w:type="continuationSeparator" w:id="0">
    <w:p w:rsidR="009F6FF1" w:rsidRDefault="009F6FF1" w:rsidP="0003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F1" w:rsidRDefault="009F6FF1" w:rsidP="000349FF">
      <w:r>
        <w:separator/>
      </w:r>
    </w:p>
  </w:footnote>
  <w:footnote w:type="continuationSeparator" w:id="0">
    <w:p w:rsidR="009F6FF1" w:rsidRDefault="009F6FF1" w:rsidP="00034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A4E"/>
    <w:multiLevelType w:val="hybridMultilevel"/>
    <w:tmpl w:val="DE9209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F2"/>
    <w:rsid w:val="000049D1"/>
    <w:rsid w:val="000349FF"/>
    <w:rsid w:val="001554F3"/>
    <w:rsid w:val="001559BE"/>
    <w:rsid w:val="001B6CD3"/>
    <w:rsid w:val="001E1100"/>
    <w:rsid w:val="001F3C19"/>
    <w:rsid w:val="00274822"/>
    <w:rsid w:val="002A5F4B"/>
    <w:rsid w:val="002F0235"/>
    <w:rsid w:val="003D2B43"/>
    <w:rsid w:val="00414C38"/>
    <w:rsid w:val="00493DFE"/>
    <w:rsid w:val="004A4EAE"/>
    <w:rsid w:val="004F4347"/>
    <w:rsid w:val="00502771"/>
    <w:rsid w:val="005D2711"/>
    <w:rsid w:val="005E1610"/>
    <w:rsid w:val="005E1720"/>
    <w:rsid w:val="0060234F"/>
    <w:rsid w:val="006267BE"/>
    <w:rsid w:val="006768DA"/>
    <w:rsid w:val="00692545"/>
    <w:rsid w:val="006D4EFE"/>
    <w:rsid w:val="007077DD"/>
    <w:rsid w:val="007A4456"/>
    <w:rsid w:val="008C602C"/>
    <w:rsid w:val="008C6E31"/>
    <w:rsid w:val="008F5BF2"/>
    <w:rsid w:val="009B7E84"/>
    <w:rsid w:val="009F4F5A"/>
    <w:rsid w:val="009F6FF1"/>
    <w:rsid w:val="00A47F20"/>
    <w:rsid w:val="00A70305"/>
    <w:rsid w:val="00A91D95"/>
    <w:rsid w:val="00A97381"/>
    <w:rsid w:val="00AF2AAD"/>
    <w:rsid w:val="00B37D12"/>
    <w:rsid w:val="00BD6604"/>
    <w:rsid w:val="00C34E9D"/>
    <w:rsid w:val="00CF71C6"/>
    <w:rsid w:val="00D04448"/>
    <w:rsid w:val="00D511C9"/>
    <w:rsid w:val="00D6390C"/>
    <w:rsid w:val="00D9242E"/>
    <w:rsid w:val="00DA5F13"/>
    <w:rsid w:val="00DF6F25"/>
    <w:rsid w:val="00E24221"/>
    <w:rsid w:val="00E800BA"/>
    <w:rsid w:val="00EA0254"/>
    <w:rsid w:val="00EB29D4"/>
    <w:rsid w:val="00F0792D"/>
    <w:rsid w:val="00FB061E"/>
    <w:rsid w:val="00FC72D3"/>
    <w:rsid w:val="00FD2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92D"/>
    <w:pPr>
      <w:ind w:leftChars="200" w:left="480"/>
    </w:pPr>
  </w:style>
  <w:style w:type="paragraph" w:styleId="a4">
    <w:name w:val="header"/>
    <w:basedOn w:val="a"/>
    <w:link w:val="a5"/>
    <w:uiPriority w:val="99"/>
    <w:unhideWhenUsed/>
    <w:rsid w:val="000349FF"/>
    <w:pPr>
      <w:tabs>
        <w:tab w:val="center" w:pos="4153"/>
        <w:tab w:val="right" w:pos="8306"/>
      </w:tabs>
      <w:snapToGrid w:val="0"/>
    </w:pPr>
    <w:rPr>
      <w:sz w:val="20"/>
      <w:szCs w:val="20"/>
    </w:rPr>
  </w:style>
  <w:style w:type="character" w:customStyle="1" w:styleId="a5">
    <w:name w:val="頁首 字元"/>
    <w:basedOn w:val="a0"/>
    <w:link w:val="a4"/>
    <w:uiPriority w:val="99"/>
    <w:rsid w:val="000349FF"/>
    <w:rPr>
      <w:sz w:val="20"/>
      <w:szCs w:val="20"/>
    </w:rPr>
  </w:style>
  <w:style w:type="paragraph" w:styleId="a6">
    <w:name w:val="footer"/>
    <w:basedOn w:val="a"/>
    <w:link w:val="a7"/>
    <w:uiPriority w:val="99"/>
    <w:unhideWhenUsed/>
    <w:rsid w:val="000349FF"/>
    <w:pPr>
      <w:tabs>
        <w:tab w:val="center" w:pos="4153"/>
        <w:tab w:val="right" w:pos="8306"/>
      </w:tabs>
      <w:snapToGrid w:val="0"/>
    </w:pPr>
    <w:rPr>
      <w:sz w:val="20"/>
      <w:szCs w:val="20"/>
    </w:rPr>
  </w:style>
  <w:style w:type="character" w:customStyle="1" w:styleId="a7">
    <w:name w:val="頁尾 字元"/>
    <w:basedOn w:val="a0"/>
    <w:link w:val="a6"/>
    <w:uiPriority w:val="99"/>
    <w:rsid w:val="000349F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92D"/>
    <w:pPr>
      <w:ind w:leftChars="200" w:left="480"/>
    </w:pPr>
  </w:style>
  <w:style w:type="paragraph" w:styleId="a4">
    <w:name w:val="header"/>
    <w:basedOn w:val="a"/>
    <w:link w:val="a5"/>
    <w:uiPriority w:val="99"/>
    <w:unhideWhenUsed/>
    <w:rsid w:val="000349FF"/>
    <w:pPr>
      <w:tabs>
        <w:tab w:val="center" w:pos="4153"/>
        <w:tab w:val="right" w:pos="8306"/>
      </w:tabs>
      <w:snapToGrid w:val="0"/>
    </w:pPr>
    <w:rPr>
      <w:sz w:val="20"/>
      <w:szCs w:val="20"/>
    </w:rPr>
  </w:style>
  <w:style w:type="character" w:customStyle="1" w:styleId="a5">
    <w:name w:val="頁首 字元"/>
    <w:basedOn w:val="a0"/>
    <w:link w:val="a4"/>
    <w:uiPriority w:val="99"/>
    <w:rsid w:val="000349FF"/>
    <w:rPr>
      <w:sz w:val="20"/>
      <w:szCs w:val="20"/>
    </w:rPr>
  </w:style>
  <w:style w:type="paragraph" w:styleId="a6">
    <w:name w:val="footer"/>
    <w:basedOn w:val="a"/>
    <w:link w:val="a7"/>
    <w:uiPriority w:val="99"/>
    <w:unhideWhenUsed/>
    <w:rsid w:val="000349FF"/>
    <w:pPr>
      <w:tabs>
        <w:tab w:val="center" w:pos="4153"/>
        <w:tab w:val="right" w:pos="8306"/>
      </w:tabs>
      <w:snapToGrid w:val="0"/>
    </w:pPr>
    <w:rPr>
      <w:sz w:val="20"/>
      <w:szCs w:val="20"/>
    </w:rPr>
  </w:style>
  <w:style w:type="character" w:customStyle="1" w:styleId="a7">
    <w:name w:val="頁尾 字元"/>
    <w:basedOn w:val="a0"/>
    <w:link w:val="a6"/>
    <w:uiPriority w:val="99"/>
    <w:rsid w:val="000349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4</DocSecurity>
  <Lines>17</Lines>
  <Paragraphs>4</Paragraphs>
  <ScaleCrop>false</ScaleCrop>
  <Company>Hewlett-Packard Company</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朱敏賢</dc:creator>
  <cp:lastModifiedBy>user</cp:lastModifiedBy>
  <cp:revision>2</cp:revision>
  <cp:lastPrinted>2017-11-02T16:34:00Z</cp:lastPrinted>
  <dcterms:created xsi:type="dcterms:W3CDTF">2017-12-18T00:33:00Z</dcterms:created>
  <dcterms:modified xsi:type="dcterms:W3CDTF">2017-12-18T00:33:00Z</dcterms:modified>
</cp:coreProperties>
</file>